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E8" w:rsidRDefault="00214A1A" w:rsidP="00214A1A">
      <w:pPr>
        <w:spacing w:after="0"/>
        <w:jc w:val="center"/>
        <w:rPr>
          <w:rFonts w:cs="Arial"/>
          <w:b/>
          <w:bCs/>
          <w:sz w:val="24"/>
          <w:szCs w:val="24"/>
        </w:rPr>
      </w:pPr>
      <w:r>
        <w:rPr>
          <w:rFonts w:cs="Arial"/>
          <w:b/>
          <w:bCs/>
          <w:sz w:val="24"/>
          <w:szCs w:val="24"/>
        </w:rPr>
        <w:t>CHARITIES (REGULATION AND</w:t>
      </w:r>
      <w:r w:rsidR="005A24F0">
        <w:rPr>
          <w:rFonts w:cs="Arial"/>
          <w:b/>
          <w:bCs/>
          <w:sz w:val="24"/>
          <w:szCs w:val="24"/>
        </w:rPr>
        <w:t xml:space="preserve"> ADMINISTRATION) (SCOTLAND) ACT 2023</w:t>
      </w:r>
    </w:p>
    <w:p w:rsidR="00214A1A" w:rsidRDefault="00214A1A" w:rsidP="00214A1A">
      <w:pPr>
        <w:spacing w:after="0"/>
        <w:rPr>
          <w:rFonts w:cs="Arial"/>
          <w:b/>
          <w:bCs/>
          <w:sz w:val="24"/>
          <w:szCs w:val="24"/>
        </w:rPr>
      </w:pPr>
    </w:p>
    <w:p w:rsidR="00C72A14" w:rsidRDefault="005A24F0" w:rsidP="00214A1A">
      <w:pPr>
        <w:spacing w:after="0"/>
        <w:jc w:val="both"/>
        <w:rPr>
          <w:rFonts w:cs="Arial"/>
          <w:bCs/>
          <w:sz w:val="24"/>
          <w:szCs w:val="24"/>
        </w:rPr>
      </w:pPr>
      <w:r>
        <w:rPr>
          <w:rFonts w:cs="Arial"/>
          <w:bCs/>
          <w:sz w:val="24"/>
          <w:szCs w:val="24"/>
        </w:rPr>
        <w:t>This Act has been approved by the Scottish Parliament</w:t>
      </w:r>
      <w:r w:rsidR="00214A1A" w:rsidRPr="00214A1A">
        <w:rPr>
          <w:rFonts w:cs="Arial"/>
          <w:bCs/>
          <w:sz w:val="24"/>
          <w:szCs w:val="24"/>
        </w:rPr>
        <w:t xml:space="preserve">. </w:t>
      </w:r>
      <w:r>
        <w:rPr>
          <w:rFonts w:cs="Arial"/>
          <w:bCs/>
          <w:sz w:val="24"/>
          <w:szCs w:val="24"/>
        </w:rPr>
        <w:t xml:space="preserve">However </w:t>
      </w:r>
      <w:r w:rsidR="00750242">
        <w:rPr>
          <w:rFonts w:cs="Arial"/>
          <w:bCs/>
          <w:sz w:val="24"/>
          <w:szCs w:val="24"/>
        </w:rPr>
        <w:t xml:space="preserve">its </w:t>
      </w:r>
      <w:r>
        <w:rPr>
          <w:rFonts w:cs="Arial"/>
          <w:bCs/>
          <w:sz w:val="24"/>
          <w:szCs w:val="24"/>
        </w:rPr>
        <w:t xml:space="preserve">eventual </w:t>
      </w:r>
      <w:r w:rsidR="00750242">
        <w:rPr>
          <w:rFonts w:cs="Arial"/>
          <w:bCs/>
          <w:sz w:val="24"/>
          <w:szCs w:val="24"/>
        </w:rPr>
        <w:t>commen</w:t>
      </w:r>
      <w:r>
        <w:rPr>
          <w:rFonts w:cs="Arial"/>
          <w:bCs/>
          <w:sz w:val="24"/>
          <w:szCs w:val="24"/>
        </w:rPr>
        <w:t xml:space="preserve">cement date is as yet uncertain, and it may be that certain parts will be brought into force at different times. </w:t>
      </w:r>
      <w:r w:rsidR="00C72A14">
        <w:rPr>
          <w:rFonts w:cs="Arial"/>
          <w:bCs/>
          <w:sz w:val="24"/>
          <w:szCs w:val="24"/>
        </w:rPr>
        <w:t xml:space="preserve">The practical operation of the Act will no doubt be governed by subordinate regulations yet to be finalised.  </w:t>
      </w:r>
    </w:p>
    <w:p w:rsidR="00C72A14" w:rsidRDefault="00C72A14" w:rsidP="00214A1A">
      <w:pPr>
        <w:spacing w:after="0"/>
        <w:jc w:val="both"/>
        <w:rPr>
          <w:rFonts w:cs="Arial"/>
          <w:bCs/>
          <w:sz w:val="24"/>
          <w:szCs w:val="24"/>
        </w:rPr>
      </w:pPr>
    </w:p>
    <w:p w:rsidR="00C72A14" w:rsidRDefault="00C72A14" w:rsidP="00214A1A">
      <w:pPr>
        <w:spacing w:after="0"/>
        <w:jc w:val="both"/>
        <w:rPr>
          <w:rFonts w:cs="Arial"/>
          <w:bCs/>
          <w:sz w:val="24"/>
          <w:szCs w:val="24"/>
        </w:rPr>
      </w:pPr>
      <w:r>
        <w:rPr>
          <w:rFonts w:cs="Arial"/>
          <w:bCs/>
          <w:sz w:val="24"/>
          <w:szCs w:val="24"/>
        </w:rPr>
        <w:t>As soon as the commencement and operation of the Act have been clarified this article will be updated. Although what is stated below is necessarily tentative, it is good to be aware of, and prepared for, this new direction of travel in church charity administration.</w:t>
      </w:r>
    </w:p>
    <w:p w:rsidR="00214A1A" w:rsidRDefault="00214A1A" w:rsidP="00214A1A">
      <w:pPr>
        <w:spacing w:after="0"/>
        <w:jc w:val="both"/>
        <w:rPr>
          <w:rFonts w:cs="Arial"/>
          <w:bCs/>
          <w:sz w:val="24"/>
          <w:szCs w:val="24"/>
        </w:rPr>
      </w:pPr>
    </w:p>
    <w:p w:rsidR="00214A1A" w:rsidRDefault="00214A1A" w:rsidP="00214A1A">
      <w:pPr>
        <w:spacing w:after="0"/>
        <w:jc w:val="both"/>
        <w:rPr>
          <w:rFonts w:cs="Arial"/>
          <w:bCs/>
          <w:sz w:val="24"/>
          <w:szCs w:val="24"/>
        </w:rPr>
      </w:pPr>
      <w:r>
        <w:rPr>
          <w:rFonts w:cs="Arial"/>
          <w:bCs/>
          <w:sz w:val="24"/>
          <w:szCs w:val="24"/>
        </w:rPr>
        <w:t>Unfortunately for lovers of crust</w:t>
      </w:r>
      <w:r w:rsidR="005A24F0">
        <w:rPr>
          <w:rFonts w:cs="Arial"/>
          <w:bCs/>
          <w:sz w:val="24"/>
          <w:szCs w:val="24"/>
        </w:rPr>
        <w:t>aceans, the initials of the Act spell CRAAS</w:t>
      </w:r>
      <w:r>
        <w:rPr>
          <w:rFonts w:cs="Arial"/>
          <w:bCs/>
          <w:sz w:val="24"/>
          <w:szCs w:val="24"/>
        </w:rPr>
        <w:t xml:space="preserve"> rather than CRABS. </w:t>
      </w:r>
      <w:r w:rsidR="00750242">
        <w:rPr>
          <w:rFonts w:cs="Arial"/>
          <w:bCs/>
          <w:sz w:val="24"/>
          <w:szCs w:val="24"/>
        </w:rPr>
        <w:t>I will take a quick scuttle through its provisions. Apart from strengthening the twin pincers of charity law and its regulation by the Office of the Scottish Charity Regulator (“OSCR”), there is nothing here that specifically targets churches or should cause church trustees undue concern. There are many provisions wh</w:t>
      </w:r>
      <w:r w:rsidR="00541A60">
        <w:rPr>
          <w:rFonts w:cs="Arial"/>
          <w:bCs/>
          <w:sz w:val="24"/>
          <w:szCs w:val="24"/>
        </w:rPr>
        <w:t>i</w:t>
      </w:r>
      <w:r w:rsidR="00750242">
        <w:rPr>
          <w:rFonts w:cs="Arial"/>
          <w:bCs/>
          <w:sz w:val="24"/>
          <w:szCs w:val="24"/>
        </w:rPr>
        <w:t>ch are undeniably beneficial. However</w:t>
      </w:r>
      <w:r w:rsidR="006F1646">
        <w:rPr>
          <w:rFonts w:cs="Arial"/>
          <w:bCs/>
          <w:sz w:val="24"/>
          <w:szCs w:val="24"/>
        </w:rPr>
        <w:t>,</w:t>
      </w:r>
      <w:r w:rsidR="00750242">
        <w:rPr>
          <w:rFonts w:cs="Arial"/>
          <w:bCs/>
          <w:sz w:val="24"/>
          <w:szCs w:val="24"/>
        </w:rPr>
        <w:t xml:space="preserve"> more information will require to be disclosed, and less leniency will be shown to those charities which fail to comply with their accounting and other obligations.</w:t>
      </w:r>
    </w:p>
    <w:p w:rsidR="002462FD" w:rsidRDefault="002462FD" w:rsidP="00214A1A">
      <w:pPr>
        <w:spacing w:after="0"/>
        <w:jc w:val="both"/>
        <w:rPr>
          <w:rFonts w:cs="Arial"/>
          <w:bCs/>
          <w:sz w:val="24"/>
          <w:szCs w:val="24"/>
        </w:rPr>
      </w:pPr>
    </w:p>
    <w:p w:rsidR="002462FD" w:rsidRDefault="005A24F0" w:rsidP="00214A1A">
      <w:pPr>
        <w:spacing w:after="0"/>
        <w:jc w:val="both"/>
        <w:rPr>
          <w:rFonts w:cs="Arial"/>
          <w:bCs/>
          <w:sz w:val="24"/>
          <w:szCs w:val="24"/>
        </w:rPr>
      </w:pPr>
      <w:r>
        <w:rPr>
          <w:rFonts w:cs="Arial"/>
          <w:bCs/>
          <w:sz w:val="24"/>
          <w:szCs w:val="24"/>
        </w:rPr>
        <w:t>The Act</w:t>
      </w:r>
      <w:r w:rsidR="002462FD">
        <w:rPr>
          <w:rFonts w:cs="Arial"/>
          <w:bCs/>
          <w:sz w:val="24"/>
          <w:szCs w:val="24"/>
        </w:rPr>
        <w:t xml:space="preserve"> itself is quite difficult to read and understand</w:t>
      </w:r>
      <w:r w:rsidR="00FA3113">
        <w:rPr>
          <w:rFonts w:cs="Arial"/>
          <w:bCs/>
          <w:sz w:val="24"/>
          <w:szCs w:val="24"/>
        </w:rPr>
        <w:t>,</w:t>
      </w:r>
      <w:r w:rsidR="002462FD">
        <w:rPr>
          <w:rFonts w:cs="Arial"/>
          <w:bCs/>
          <w:sz w:val="24"/>
          <w:szCs w:val="24"/>
        </w:rPr>
        <w:t xml:space="preserve"> as it is a succession of detailed modifications to the principal legislation governing charity law in Scotland, the Charities and Trustee Investment (Scotland) Act 2005. </w:t>
      </w:r>
      <w:r w:rsidR="00D71240">
        <w:rPr>
          <w:rFonts w:cs="Arial"/>
          <w:bCs/>
          <w:sz w:val="24"/>
          <w:szCs w:val="24"/>
        </w:rPr>
        <w:t>This is a strengthening and updating of the current regime, no</w:t>
      </w:r>
      <w:r w:rsidR="00C72A14">
        <w:rPr>
          <w:rFonts w:cs="Arial"/>
          <w:bCs/>
          <w:sz w:val="24"/>
          <w:szCs w:val="24"/>
        </w:rPr>
        <w:t xml:space="preserve">t a radical </w:t>
      </w:r>
      <w:r w:rsidR="00D71240">
        <w:rPr>
          <w:rFonts w:cs="Arial"/>
          <w:bCs/>
          <w:sz w:val="24"/>
          <w:szCs w:val="24"/>
        </w:rPr>
        <w:t xml:space="preserve">departure. </w:t>
      </w:r>
      <w:r w:rsidR="00E52E6B">
        <w:rPr>
          <w:rFonts w:cs="Arial"/>
          <w:bCs/>
          <w:sz w:val="24"/>
          <w:szCs w:val="24"/>
        </w:rPr>
        <w:t xml:space="preserve">It is all part of the general move towards greater transparency and accountability, especially for church and other charities which are supposed to provide public benefit and which enjoy the financial and other privileges associated with charitable status. </w:t>
      </w:r>
      <w:r w:rsidR="00C72A14">
        <w:rPr>
          <w:rFonts w:cs="Arial"/>
          <w:bCs/>
          <w:sz w:val="24"/>
          <w:szCs w:val="24"/>
        </w:rPr>
        <w:t>Here is a brief</w:t>
      </w:r>
      <w:r w:rsidR="002462FD">
        <w:rPr>
          <w:rFonts w:cs="Arial"/>
          <w:bCs/>
          <w:sz w:val="24"/>
          <w:szCs w:val="24"/>
        </w:rPr>
        <w:t xml:space="preserve"> summary of those matters which may be of most interest to charity trustees, and which you can look forward to complying with or benefiting from, as the case may be:</w:t>
      </w:r>
    </w:p>
    <w:p w:rsidR="002462FD" w:rsidRDefault="002462FD" w:rsidP="00214A1A">
      <w:pPr>
        <w:spacing w:after="0"/>
        <w:jc w:val="both"/>
        <w:rPr>
          <w:rFonts w:cs="Arial"/>
          <w:bCs/>
          <w:sz w:val="24"/>
          <w:szCs w:val="24"/>
        </w:rPr>
      </w:pPr>
    </w:p>
    <w:p w:rsidR="002462FD" w:rsidRPr="00CF7EB3" w:rsidRDefault="002462FD" w:rsidP="002462FD">
      <w:pPr>
        <w:pStyle w:val="ListParagraph"/>
        <w:numPr>
          <w:ilvl w:val="0"/>
          <w:numId w:val="9"/>
        </w:numPr>
        <w:spacing w:after="0"/>
        <w:jc w:val="both"/>
        <w:rPr>
          <w:rFonts w:cs="Arial"/>
          <w:b/>
          <w:bCs/>
          <w:sz w:val="24"/>
          <w:szCs w:val="24"/>
        </w:rPr>
      </w:pPr>
      <w:r w:rsidRPr="00CF7EB3">
        <w:rPr>
          <w:rFonts w:cs="Arial"/>
          <w:b/>
          <w:bCs/>
          <w:sz w:val="24"/>
          <w:szCs w:val="24"/>
        </w:rPr>
        <w:t>Disclosure of Trustee Information</w:t>
      </w:r>
    </w:p>
    <w:p w:rsidR="00FA3113" w:rsidRDefault="00FA3113" w:rsidP="00FA3113">
      <w:pPr>
        <w:pStyle w:val="ListParagraph"/>
        <w:numPr>
          <w:ilvl w:val="1"/>
          <w:numId w:val="9"/>
        </w:numPr>
        <w:spacing w:after="0"/>
        <w:jc w:val="both"/>
        <w:rPr>
          <w:rFonts w:cs="Arial"/>
          <w:bCs/>
          <w:sz w:val="24"/>
          <w:szCs w:val="24"/>
        </w:rPr>
      </w:pPr>
      <w:r>
        <w:rPr>
          <w:rFonts w:cs="Arial"/>
          <w:bCs/>
          <w:sz w:val="24"/>
          <w:szCs w:val="24"/>
        </w:rPr>
        <w:t xml:space="preserve">Names of charity trustees </w:t>
      </w:r>
      <w:r w:rsidR="00D71240">
        <w:rPr>
          <w:rFonts w:cs="Arial"/>
          <w:bCs/>
          <w:sz w:val="24"/>
          <w:szCs w:val="24"/>
        </w:rPr>
        <w:t xml:space="preserve">are </w:t>
      </w:r>
      <w:r>
        <w:rPr>
          <w:rFonts w:cs="Arial"/>
          <w:bCs/>
          <w:sz w:val="24"/>
          <w:szCs w:val="24"/>
        </w:rPr>
        <w:t>to be included on OSCR’s public Scottish Charity Register</w:t>
      </w:r>
      <w:r w:rsidR="00541A60">
        <w:rPr>
          <w:rFonts w:cs="Arial"/>
          <w:bCs/>
          <w:sz w:val="24"/>
          <w:szCs w:val="24"/>
        </w:rPr>
        <w:t>.</w:t>
      </w:r>
    </w:p>
    <w:p w:rsidR="00FA3113" w:rsidRDefault="00D71240" w:rsidP="00FA3113">
      <w:pPr>
        <w:pStyle w:val="ListParagraph"/>
        <w:numPr>
          <w:ilvl w:val="1"/>
          <w:numId w:val="9"/>
        </w:numPr>
        <w:spacing w:after="0"/>
        <w:jc w:val="both"/>
        <w:rPr>
          <w:rFonts w:cs="Arial"/>
          <w:bCs/>
          <w:sz w:val="24"/>
          <w:szCs w:val="24"/>
        </w:rPr>
      </w:pPr>
      <w:r>
        <w:rPr>
          <w:rFonts w:cs="Arial"/>
          <w:bCs/>
          <w:sz w:val="24"/>
          <w:szCs w:val="24"/>
        </w:rPr>
        <w:t>Changes in trustees must</w:t>
      </w:r>
      <w:r w:rsidR="00FA3113">
        <w:rPr>
          <w:rFonts w:cs="Arial"/>
          <w:bCs/>
          <w:sz w:val="24"/>
          <w:szCs w:val="24"/>
        </w:rPr>
        <w:t xml:space="preserve"> be notified to OSCR</w:t>
      </w:r>
      <w:r w:rsidR="00541A60">
        <w:rPr>
          <w:rFonts w:cs="Arial"/>
          <w:bCs/>
          <w:sz w:val="24"/>
          <w:szCs w:val="24"/>
        </w:rPr>
        <w:t>.</w:t>
      </w:r>
    </w:p>
    <w:p w:rsidR="006F1646" w:rsidRDefault="006F1646" w:rsidP="00FA3113">
      <w:pPr>
        <w:pStyle w:val="ListParagraph"/>
        <w:numPr>
          <w:ilvl w:val="1"/>
          <w:numId w:val="9"/>
        </w:numPr>
        <w:spacing w:after="0"/>
        <w:jc w:val="both"/>
        <w:rPr>
          <w:rFonts w:cs="Arial"/>
          <w:bCs/>
          <w:sz w:val="24"/>
          <w:szCs w:val="24"/>
        </w:rPr>
      </w:pPr>
      <w:r>
        <w:rPr>
          <w:rFonts w:cs="Arial"/>
          <w:bCs/>
          <w:sz w:val="24"/>
          <w:szCs w:val="24"/>
        </w:rPr>
        <w:t>Principal office or contact trustee address must be disclosed</w:t>
      </w:r>
      <w:r w:rsidR="00D71240">
        <w:rPr>
          <w:rFonts w:cs="Arial"/>
          <w:bCs/>
          <w:sz w:val="24"/>
          <w:szCs w:val="24"/>
        </w:rPr>
        <w:t xml:space="preserve"> (as before)</w:t>
      </w:r>
      <w:r>
        <w:rPr>
          <w:rFonts w:cs="Arial"/>
          <w:bCs/>
          <w:sz w:val="24"/>
          <w:szCs w:val="24"/>
        </w:rPr>
        <w:t>, but the addresses of all the other charity trustees do not require to be disclosed.</w:t>
      </w:r>
    </w:p>
    <w:p w:rsidR="00FA3113" w:rsidRDefault="00FA3113" w:rsidP="00FA3113">
      <w:pPr>
        <w:pStyle w:val="ListParagraph"/>
        <w:numPr>
          <w:ilvl w:val="1"/>
          <w:numId w:val="9"/>
        </w:numPr>
        <w:spacing w:after="0"/>
        <w:jc w:val="both"/>
        <w:rPr>
          <w:rFonts w:cs="Arial"/>
          <w:bCs/>
          <w:sz w:val="24"/>
          <w:szCs w:val="24"/>
        </w:rPr>
      </w:pPr>
      <w:r>
        <w:rPr>
          <w:rFonts w:cs="Arial"/>
          <w:bCs/>
          <w:sz w:val="24"/>
          <w:szCs w:val="24"/>
        </w:rPr>
        <w:t xml:space="preserve">Disclosure provisions are all subject to </w:t>
      </w:r>
      <w:r w:rsidR="00541A60">
        <w:rPr>
          <w:rFonts w:cs="Arial"/>
          <w:bCs/>
          <w:sz w:val="24"/>
          <w:szCs w:val="24"/>
        </w:rPr>
        <w:t>the proviso that OSCR must exclude such information from the Register if it is satisfied that including the information is likely to jeopardise the safety or security of any person or premises.</w:t>
      </w:r>
    </w:p>
    <w:p w:rsidR="00FA3113" w:rsidRDefault="00FA3113" w:rsidP="00FA3113">
      <w:pPr>
        <w:pStyle w:val="ListParagraph"/>
        <w:numPr>
          <w:ilvl w:val="1"/>
          <w:numId w:val="9"/>
        </w:numPr>
        <w:spacing w:after="0"/>
        <w:jc w:val="both"/>
        <w:rPr>
          <w:rFonts w:cs="Arial"/>
          <w:bCs/>
          <w:sz w:val="24"/>
          <w:szCs w:val="24"/>
        </w:rPr>
      </w:pPr>
      <w:r>
        <w:rPr>
          <w:rFonts w:cs="Arial"/>
          <w:bCs/>
          <w:sz w:val="24"/>
          <w:szCs w:val="24"/>
        </w:rPr>
        <w:t xml:space="preserve">OSCR can obtain further information from </w:t>
      </w:r>
      <w:r w:rsidR="00541A60">
        <w:rPr>
          <w:rFonts w:cs="Arial"/>
          <w:bCs/>
          <w:sz w:val="24"/>
          <w:szCs w:val="24"/>
        </w:rPr>
        <w:t>trustees</w:t>
      </w:r>
      <w:r>
        <w:rPr>
          <w:rFonts w:cs="Arial"/>
          <w:bCs/>
          <w:sz w:val="24"/>
          <w:szCs w:val="24"/>
        </w:rPr>
        <w:t xml:space="preserve"> and compile its own Schedule of Charity Trustees. </w:t>
      </w:r>
      <w:r w:rsidR="00541A60">
        <w:rPr>
          <w:rFonts w:cs="Arial"/>
          <w:bCs/>
          <w:sz w:val="24"/>
          <w:szCs w:val="24"/>
        </w:rPr>
        <w:t>That</w:t>
      </w:r>
      <w:r>
        <w:rPr>
          <w:rFonts w:cs="Arial"/>
          <w:bCs/>
          <w:sz w:val="24"/>
          <w:szCs w:val="24"/>
        </w:rPr>
        <w:t xml:space="preserve"> will be kept </w:t>
      </w:r>
      <w:r w:rsidR="00541A60">
        <w:rPr>
          <w:rFonts w:cs="Arial"/>
          <w:bCs/>
          <w:sz w:val="24"/>
          <w:szCs w:val="24"/>
        </w:rPr>
        <w:t>internally</w:t>
      </w:r>
      <w:r>
        <w:rPr>
          <w:rFonts w:cs="Arial"/>
          <w:bCs/>
          <w:sz w:val="24"/>
          <w:szCs w:val="24"/>
        </w:rPr>
        <w:t xml:space="preserve"> for regulatory and communication purposes and will not be available to the public</w:t>
      </w:r>
      <w:r w:rsidR="00541A60">
        <w:rPr>
          <w:rFonts w:cs="Arial"/>
          <w:bCs/>
          <w:sz w:val="24"/>
          <w:szCs w:val="24"/>
        </w:rPr>
        <w:t>.</w:t>
      </w:r>
    </w:p>
    <w:p w:rsidR="00C72A14" w:rsidRDefault="00C72A14" w:rsidP="00C72A14">
      <w:pPr>
        <w:pStyle w:val="ListParagraph"/>
        <w:spacing w:after="0"/>
        <w:ind w:left="1440"/>
        <w:jc w:val="both"/>
        <w:rPr>
          <w:rFonts w:cs="Arial"/>
          <w:bCs/>
          <w:sz w:val="24"/>
          <w:szCs w:val="24"/>
        </w:rPr>
      </w:pPr>
    </w:p>
    <w:p w:rsidR="002462FD" w:rsidRPr="00CF7EB3" w:rsidRDefault="002462FD" w:rsidP="002462FD">
      <w:pPr>
        <w:pStyle w:val="ListParagraph"/>
        <w:numPr>
          <w:ilvl w:val="0"/>
          <w:numId w:val="9"/>
        </w:numPr>
        <w:spacing w:after="0"/>
        <w:jc w:val="both"/>
        <w:rPr>
          <w:rFonts w:cs="Arial"/>
          <w:b/>
          <w:bCs/>
          <w:sz w:val="24"/>
          <w:szCs w:val="24"/>
        </w:rPr>
      </w:pPr>
      <w:r w:rsidRPr="00CF7EB3">
        <w:rPr>
          <w:rFonts w:cs="Arial"/>
          <w:b/>
          <w:bCs/>
          <w:sz w:val="24"/>
          <w:szCs w:val="24"/>
        </w:rPr>
        <w:lastRenderedPageBreak/>
        <w:t>Widening Scope of Disqualification</w:t>
      </w:r>
    </w:p>
    <w:p w:rsidR="00541A60" w:rsidRDefault="00541A60" w:rsidP="00541A60">
      <w:pPr>
        <w:pStyle w:val="ListParagraph"/>
        <w:numPr>
          <w:ilvl w:val="1"/>
          <w:numId w:val="9"/>
        </w:numPr>
        <w:spacing w:after="0"/>
        <w:jc w:val="both"/>
        <w:rPr>
          <w:rFonts w:cs="Arial"/>
          <w:bCs/>
          <w:sz w:val="24"/>
          <w:szCs w:val="24"/>
        </w:rPr>
      </w:pPr>
      <w:r>
        <w:rPr>
          <w:rFonts w:cs="Arial"/>
          <w:bCs/>
          <w:sz w:val="24"/>
          <w:szCs w:val="24"/>
        </w:rPr>
        <w:t>Disqualification can affect not only charity trustees, but those holding senior management functions in a charity, such as a chief executive or financial officer.</w:t>
      </w:r>
    </w:p>
    <w:p w:rsidR="00541A60" w:rsidRDefault="00541A60" w:rsidP="00541A60">
      <w:pPr>
        <w:pStyle w:val="ListParagraph"/>
        <w:numPr>
          <w:ilvl w:val="1"/>
          <w:numId w:val="9"/>
        </w:numPr>
        <w:spacing w:after="0"/>
        <w:jc w:val="both"/>
        <w:rPr>
          <w:rFonts w:cs="Arial"/>
          <w:bCs/>
          <w:sz w:val="24"/>
          <w:szCs w:val="24"/>
        </w:rPr>
      </w:pPr>
      <w:r>
        <w:rPr>
          <w:rFonts w:cs="Arial"/>
          <w:bCs/>
          <w:sz w:val="24"/>
          <w:szCs w:val="24"/>
        </w:rPr>
        <w:t>The range of offences triggering disqualification is increased, including not only dishonesty</w:t>
      </w:r>
      <w:r w:rsidR="000E56E9">
        <w:rPr>
          <w:rFonts w:cs="Arial"/>
          <w:bCs/>
          <w:sz w:val="24"/>
          <w:szCs w:val="24"/>
        </w:rPr>
        <w:t>,</w:t>
      </w:r>
      <w:r>
        <w:rPr>
          <w:rFonts w:cs="Arial"/>
          <w:bCs/>
          <w:sz w:val="24"/>
          <w:szCs w:val="24"/>
        </w:rPr>
        <w:t xml:space="preserve"> but crimes such as terrorism, money laundering</w:t>
      </w:r>
      <w:r w:rsidR="000E56E9">
        <w:rPr>
          <w:rFonts w:cs="Arial"/>
          <w:bCs/>
          <w:sz w:val="24"/>
          <w:szCs w:val="24"/>
        </w:rPr>
        <w:t>, bribery</w:t>
      </w:r>
      <w:r>
        <w:rPr>
          <w:rFonts w:cs="Arial"/>
          <w:bCs/>
          <w:sz w:val="24"/>
          <w:szCs w:val="24"/>
        </w:rPr>
        <w:t xml:space="preserve"> and perverting the course of justice.</w:t>
      </w:r>
    </w:p>
    <w:p w:rsidR="000E56E9" w:rsidRDefault="000E56E9" w:rsidP="00541A60">
      <w:pPr>
        <w:pStyle w:val="ListParagraph"/>
        <w:numPr>
          <w:ilvl w:val="1"/>
          <w:numId w:val="9"/>
        </w:numPr>
        <w:spacing w:after="0"/>
        <w:jc w:val="both"/>
        <w:rPr>
          <w:rFonts w:cs="Arial"/>
          <w:bCs/>
          <w:sz w:val="24"/>
          <w:szCs w:val="24"/>
        </w:rPr>
      </w:pPr>
      <w:r>
        <w:rPr>
          <w:rFonts w:cs="Arial"/>
          <w:bCs/>
          <w:sz w:val="24"/>
          <w:szCs w:val="24"/>
        </w:rPr>
        <w:t>Bankruptcy related prohibitions will be extended to other debtor contexts.</w:t>
      </w:r>
    </w:p>
    <w:p w:rsidR="006F1646" w:rsidRDefault="006F1646" w:rsidP="00541A60">
      <w:pPr>
        <w:pStyle w:val="ListParagraph"/>
        <w:numPr>
          <w:ilvl w:val="1"/>
          <w:numId w:val="9"/>
        </w:numPr>
        <w:spacing w:after="0"/>
        <w:jc w:val="both"/>
        <w:rPr>
          <w:rFonts w:cs="Arial"/>
          <w:bCs/>
          <w:sz w:val="24"/>
          <w:szCs w:val="24"/>
        </w:rPr>
      </w:pPr>
      <w:r>
        <w:rPr>
          <w:rFonts w:cs="Arial"/>
          <w:bCs/>
          <w:sz w:val="24"/>
          <w:szCs w:val="24"/>
        </w:rPr>
        <w:t xml:space="preserve">It will still be possible for a charity to apply to OSCR </w:t>
      </w:r>
      <w:r w:rsidR="00D71240">
        <w:rPr>
          <w:rFonts w:cs="Arial"/>
          <w:bCs/>
          <w:sz w:val="24"/>
          <w:szCs w:val="24"/>
        </w:rPr>
        <w:t xml:space="preserve">for a waiver </w:t>
      </w:r>
      <w:r>
        <w:rPr>
          <w:rFonts w:cs="Arial"/>
          <w:bCs/>
          <w:sz w:val="24"/>
          <w:szCs w:val="24"/>
        </w:rPr>
        <w:t>in respect of individual trustees or senior managers who would otherwise be disqualified.</w:t>
      </w:r>
    </w:p>
    <w:p w:rsidR="00541A60" w:rsidRDefault="000E56E9" w:rsidP="00541A60">
      <w:pPr>
        <w:pStyle w:val="ListParagraph"/>
        <w:numPr>
          <w:ilvl w:val="1"/>
          <w:numId w:val="9"/>
        </w:numPr>
        <w:spacing w:after="0"/>
        <w:jc w:val="both"/>
        <w:rPr>
          <w:rFonts w:cs="Arial"/>
          <w:bCs/>
          <w:sz w:val="24"/>
          <w:szCs w:val="24"/>
        </w:rPr>
      </w:pPr>
      <w:r>
        <w:rPr>
          <w:rFonts w:cs="Arial"/>
          <w:bCs/>
          <w:sz w:val="24"/>
          <w:szCs w:val="24"/>
        </w:rPr>
        <w:t>There will be a searchable record of those who have been removed from office as charity tru</w:t>
      </w:r>
      <w:r w:rsidR="00B03EB2">
        <w:rPr>
          <w:rFonts w:cs="Arial"/>
          <w:bCs/>
          <w:sz w:val="24"/>
          <w:szCs w:val="24"/>
        </w:rPr>
        <w:t xml:space="preserve">stees or senior managers by court order due to misconduct in the administration of the charity. This </w:t>
      </w:r>
      <w:r>
        <w:rPr>
          <w:rFonts w:cs="Arial"/>
          <w:bCs/>
          <w:sz w:val="24"/>
          <w:szCs w:val="24"/>
        </w:rPr>
        <w:t>will enable churches to check out specific individuals prior to appointment.</w:t>
      </w:r>
    </w:p>
    <w:p w:rsidR="00FA3113" w:rsidRPr="00CF7EB3" w:rsidRDefault="00FA3113" w:rsidP="002462FD">
      <w:pPr>
        <w:pStyle w:val="ListParagraph"/>
        <w:numPr>
          <w:ilvl w:val="0"/>
          <w:numId w:val="9"/>
        </w:numPr>
        <w:spacing w:after="0"/>
        <w:jc w:val="both"/>
        <w:rPr>
          <w:rFonts w:cs="Arial"/>
          <w:b/>
          <w:bCs/>
          <w:sz w:val="24"/>
          <w:szCs w:val="24"/>
        </w:rPr>
      </w:pPr>
      <w:r w:rsidRPr="00CF7EB3">
        <w:rPr>
          <w:rFonts w:cs="Arial"/>
          <w:b/>
          <w:bCs/>
          <w:sz w:val="24"/>
          <w:szCs w:val="24"/>
        </w:rPr>
        <w:t>Submission of Accounts</w:t>
      </w:r>
    </w:p>
    <w:p w:rsidR="003E6C01" w:rsidRDefault="003E6C01" w:rsidP="003E6C01">
      <w:pPr>
        <w:pStyle w:val="ListParagraph"/>
        <w:numPr>
          <w:ilvl w:val="1"/>
          <w:numId w:val="9"/>
        </w:numPr>
        <w:spacing w:after="0"/>
        <w:jc w:val="both"/>
        <w:rPr>
          <w:rFonts w:cs="Arial"/>
          <w:bCs/>
          <w:sz w:val="24"/>
          <w:szCs w:val="24"/>
        </w:rPr>
      </w:pPr>
      <w:r>
        <w:rPr>
          <w:rFonts w:cs="Arial"/>
          <w:bCs/>
          <w:sz w:val="24"/>
          <w:szCs w:val="24"/>
        </w:rPr>
        <w:t>Requirement to have accounts audited or independently examined clarified to provide that the report must form part of the accounts submitted to OSCR.</w:t>
      </w:r>
    </w:p>
    <w:p w:rsidR="00B03EB2" w:rsidRDefault="00B03EB2" w:rsidP="003E6C01">
      <w:pPr>
        <w:pStyle w:val="ListParagraph"/>
        <w:numPr>
          <w:ilvl w:val="1"/>
          <w:numId w:val="9"/>
        </w:numPr>
        <w:spacing w:after="0"/>
        <w:jc w:val="both"/>
        <w:rPr>
          <w:rFonts w:cs="Arial"/>
          <w:bCs/>
          <w:sz w:val="24"/>
          <w:szCs w:val="24"/>
        </w:rPr>
      </w:pPr>
      <w:r>
        <w:rPr>
          <w:rFonts w:cs="Arial"/>
          <w:bCs/>
          <w:sz w:val="24"/>
          <w:szCs w:val="24"/>
        </w:rPr>
        <w:t>The obligation on charities to provide copies of their latest accounts to an enquirer now extends to include the auditor’s or independent examiner’s report.</w:t>
      </w:r>
    </w:p>
    <w:p w:rsidR="00D15E34" w:rsidRDefault="00D15E34" w:rsidP="003E6C01">
      <w:pPr>
        <w:pStyle w:val="ListParagraph"/>
        <w:numPr>
          <w:ilvl w:val="1"/>
          <w:numId w:val="9"/>
        </w:numPr>
        <w:spacing w:after="0"/>
        <w:jc w:val="both"/>
        <w:rPr>
          <w:rFonts w:cs="Arial"/>
          <w:bCs/>
          <w:sz w:val="24"/>
          <w:szCs w:val="24"/>
        </w:rPr>
      </w:pPr>
      <w:r>
        <w:rPr>
          <w:rFonts w:cs="Arial"/>
          <w:bCs/>
          <w:sz w:val="24"/>
          <w:szCs w:val="24"/>
        </w:rPr>
        <w:t>Submission of the Annual Return is now compulsory rather than voluntary.</w:t>
      </w:r>
    </w:p>
    <w:p w:rsidR="003E6C01" w:rsidRDefault="003E6C01" w:rsidP="003E6C01">
      <w:pPr>
        <w:pStyle w:val="ListParagraph"/>
        <w:numPr>
          <w:ilvl w:val="1"/>
          <w:numId w:val="9"/>
        </w:numPr>
        <w:spacing w:after="0"/>
        <w:jc w:val="both"/>
        <w:rPr>
          <w:rFonts w:cs="Arial"/>
          <w:bCs/>
          <w:sz w:val="24"/>
          <w:szCs w:val="24"/>
        </w:rPr>
      </w:pPr>
      <w:r>
        <w:rPr>
          <w:rFonts w:cs="Arial"/>
          <w:bCs/>
          <w:sz w:val="24"/>
          <w:szCs w:val="24"/>
        </w:rPr>
        <w:t xml:space="preserve">If the deadline for submission of accounts has passed and the charity </w:t>
      </w:r>
      <w:r w:rsidR="00CF7EB3">
        <w:rPr>
          <w:rFonts w:cs="Arial"/>
          <w:bCs/>
          <w:sz w:val="24"/>
          <w:szCs w:val="24"/>
        </w:rPr>
        <w:t>h</w:t>
      </w:r>
      <w:r>
        <w:rPr>
          <w:rFonts w:cs="Arial"/>
          <w:bCs/>
          <w:sz w:val="24"/>
          <w:szCs w:val="24"/>
        </w:rPr>
        <w:t xml:space="preserve">as not responded to communications from OSCR in </w:t>
      </w:r>
      <w:r w:rsidR="00CF7EB3">
        <w:rPr>
          <w:rFonts w:cs="Arial"/>
          <w:bCs/>
          <w:sz w:val="24"/>
          <w:szCs w:val="24"/>
        </w:rPr>
        <w:t>respect</w:t>
      </w:r>
      <w:r>
        <w:rPr>
          <w:rFonts w:cs="Arial"/>
          <w:bCs/>
          <w:sz w:val="24"/>
          <w:szCs w:val="24"/>
        </w:rPr>
        <w:t xml:space="preserve"> of such </w:t>
      </w:r>
      <w:r w:rsidR="00CF7EB3">
        <w:rPr>
          <w:rFonts w:cs="Arial"/>
          <w:bCs/>
          <w:sz w:val="24"/>
          <w:szCs w:val="24"/>
        </w:rPr>
        <w:t>failure</w:t>
      </w:r>
      <w:r>
        <w:rPr>
          <w:rFonts w:cs="Arial"/>
          <w:bCs/>
          <w:sz w:val="24"/>
          <w:szCs w:val="24"/>
        </w:rPr>
        <w:t xml:space="preserve">, OSCR can give the charity </w:t>
      </w:r>
      <w:r w:rsidR="00CF7EB3">
        <w:rPr>
          <w:rFonts w:cs="Arial"/>
          <w:bCs/>
          <w:sz w:val="24"/>
          <w:szCs w:val="24"/>
        </w:rPr>
        <w:t>notice</w:t>
      </w:r>
      <w:r>
        <w:rPr>
          <w:rFonts w:cs="Arial"/>
          <w:bCs/>
          <w:sz w:val="24"/>
          <w:szCs w:val="24"/>
        </w:rPr>
        <w:t xml:space="preserve"> of intention to remove </w:t>
      </w:r>
      <w:r w:rsidR="00CF7EB3">
        <w:rPr>
          <w:rFonts w:cs="Arial"/>
          <w:bCs/>
          <w:sz w:val="24"/>
          <w:szCs w:val="24"/>
        </w:rPr>
        <w:t>it</w:t>
      </w:r>
      <w:r>
        <w:rPr>
          <w:rFonts w:cs="Arial"/>
          <w:bCs/>
          <w:sz w:val="24"/>
          <w:szCs w:val="24"/>
        </w:rPr>
        <w:t xml:space="preserve"> </w:t>
      </w:r>
      <w:r w:rsidR="00CF7EB3">
        <w:rPr>
          <w:rFonts w:cs="Arial"/>
          <w:bCs/>
          <w:sz w:val="24"/>
          <w:szCs w:val="24"/>
        </w:rPr>
        <w:t>from</w:t>
      </w:r>
      <w:r>
        <w:rPr>
          <w:rFonts w:cs="Arial"/>
          <w:bCs/>
          <w:sz w:val="24"/>
          <w:szCs w:val="24"/>
        </w:rPr>
        <w:t xml:space="preserve"> </w:t>
      </w:r>
      <w:r w:rsidR="00CF7EB3">
        <w:rPr>
          <w:rFonts w:cs="Arial"/>
          <w:bCs/>
          <w:sz w:val="24"/>
          <w:szCs w:val="24"/>
        </w:rPr>
        <w:t>the</w:t>
      </w:r>
      <w:r>
        <w:rPr>
          <w:rFonts w:cs="Arial"/>
          <w:bCs/>
          <w:sz w:val="24"/>
          <w:szCs w:val="24"/>
        </w:rPr>
        <w:t xml:space="preserve"> Register</w:t>
      </w:r>
      <w:r w:rsidR="00071C9F">
        <w:rPr>
          <w:rFonts w:cs="Arial"/>
          <w:bCs/>
          <w:sz w:val="24"/>
          <w:szCs w:val="24"/>
        </w:rPr>
        <w:t>.</w:t>
      </w:r>
    </w:p>
    <w:p w:rsidR="00071C9F" w:rsidRDefault="00071C9F" w:rsidP="003E6C01">
      <w:pPr>
        <w:pStyle w:val="ListParagraph"/>
        <w:numPr>
          <w:ilvl w:val="1"/>
          <w:numId w:val="9"/>
        </w:numPr>
        <w:spacing w:after="0"/>
        <w:jc w:val="both"/>
        <w:rPr>
          <w:rFonts w:cs="Arial"/>
          <w:bCs/>
          <w:sz w:val="24"/>
          <w:szCs w:val="24"/>
        </w:rPr>
      </w:pPr>
      <w:r>
        <w:rPr>
          <w:rFonts w:cs="Arial"/>
          <w:bCs/>
          <w:sz w:val="24"/>
          <w:szCs w:val="24"/>
        </w:rPr>
        <w:t>A list of charities at risk of removal will be published on the OSCR website.</w:t>
      </w:r>
    </w:p>
    <w:p w:rsidR="00071C9F" w:rsidRDefault="00071C9F" w:rsidP="003E6C01">
      <w:pPr>
        <w:pStyle w:val="ListParagraph"/>
        <w:numPr>
          <w:ilvl w:val="1"/>
          <w:numId w:val="9"/>
        </w:numPr>
        <w:spacing w:after="0"/>
        <w:jc w:val="both"/>
        <w:rPr>
          <w:rFonts w:cs="Arial"/>
          <w:bCs/>
          <w:sz w:val="24"/>
          <w:szCs w:val="24"/>
        </w:rPr>
      </w:pPr>
      <w:r>
        <w:rPr>
          <w:rFonts w:cs="Arial"/>
          <w:bCs/>
          <w:sz w:val="24"/>
          <w:szCs w:val="24"/>
        </w:rPr>
        <w:t>OSCR can proceed to remove the charity from the Register if there is no effective contact within 3 months.</w:t>
      </w:r>
    </w:p>
    <w:p w:rsidR="002462FD" w:rsidRPr="00CF7EB3" w:rsidRDefault="002462FD" w:rsidP="002462FD">
      <w:pPr>
        <w:pStyle w:val="ListParagraph"/>
        <w:numPr>
          <w:ilvl w:val="0"/>
          <w:numId w:val="9"/>
        </w:numPr>
        <w:spacing w:after="0"/>
        <w:jc w:val="both"/>
        <w:rPr>
          <w:rFonts w:cs="Arial"/>
          <w:b/>
          <w:bCs/>
          <w:sz w:val="24"/>
          <w:szCs w:val="24"/>
        </w:rPr>
      </w:pPr>
      <w:r w:rsidRPr="00CF7EB3">
        <w:rPr>
          <w:rFonts w:cs="Arial"/>
          <w:b/>
          <w:bCs/>
          <w:sz w:val="24"/>
          <w:szCs w:val="24"/>
        </w:rPr>
        <w:t>Strengthening OSCR Powers</w:t>
      </w:r>
    </w:p>
    <w:p w:rsidR="003E6C01" w:rsidRDefault="00CF7EB3" w:rsidP="003E6C01">
      <w:pPr>
        <w:pStyle w:val="ListParagraph"/>
        <w:numPr>
          <w:ilvl w:val="1"/>
          <w:numId w:val="9"/>
        </w:numPr>
        <w:spacing w:after="0"/>
        <w:jc w:val="both"/>
        <w:rPr>
          <w:rFonts w:cs="Arial"/>
          <w:bCs/>
          <w:sz w:val="24"/>
          <w:szCs w:val="24"/>
        </w:rPr>
      </w:pPr>
      <w:r>
        <w:rPr>
          <w:rFonts w:cs="Arial"/>
          <w:bCs/>
          <w:sz w:val="24"/>
          <w:szCs w:val="24"/>
        </w:rPr>
        <w:t>Ability</w:t>
      </w:r>
      <w:r w:rsidR="003E6C01">
        <w:rPr>
          <w:rFonts w:cs="Arial"/>
          <w:bCs/>
          <w:sz w:val="24"/>
          <w:szCs w:val="24"/>
        </w:rPr>
        <w:t xml:space="preserve"> to appoint interim trustees where for whatever reason a charity has an insufficient number of trustees who are contactable and capable of acting.</w:t>
      </w:r>
    </w:p>
    <w:p w:rsidR="003E6C01" w:rsidRDefault="003E6C01" w:rsidP="003E6C01">
      <w:pPr>
        <w:pStyle w:val="ListParagraph"/>
        <w:numPr>
          <w:ilvl w:val="1"/>
          <w:numId w:val="9"/>
        </w:numPr>
        <w:spacing w:after="0"/>
        <w:jc w:val="both"/>
        <w:rPr>
          <w:rFonts w:cs="Arial"/>
          <w:bCs/>
          <w:sz w:val="24"/>
          <w:szCs w:val="24"/>
        </w:rPr>
      </w:pPr>
      <w:r>
        <w:rPr>
          <w:rFonts w:cs="Arial"/>
          <w:bCs/>
          <w:sz w:val="24"/>
          <w:szCs w:val="24"/>
        </w:rPr>
        <w:t>Enhanced powers to require information</w:t>
      </w:r>
      <w:r w:rsidR="002A620C">
        <w:rPr>
          <w:rFonts w:cs="Arial"/>
          <w:bCs/>
          <w:sz w:val="24"/>
          <w:szCs w:val="24"/>
        </w:rPr>
        <w:t>, issue</w:t>
      </w:r>
      <w:r w:rsidR="006F1646">
        <w:rPr>
          <w:rFonts w:cs="Arial"/>
          <w:bCs/>
          <w:sz w:val="24"/>
          <w:szCs w:val="24"/>
        </w:rPr>
        <w:t xml:space="preserve"> </w:t>
      </w:r>
      <w:r w:rsidR="00E52E6B">
        <w:rPr>
          <w:rFonts w:cs="Arial"/>
          <w:bCs/>
          <w:sz w:val="24"/>
          <w:szCs w:val="24"/>
        </w:rPr>
        <w:t xml:space="preserve">positive as well as negative </w:t>
      </w:r>
      <w:r w:rsidR="006F1646">
        <w:rPr>
          <w:rFonts w:cs="Arial"/>
          <w:bCs/>
          <w:sz w:val="24"/>
          <w:szCs w:val="24"/>
        </w:rPr>
        <w:t>directions</w:t>
      </w:r>
      <w:r w:rsidR="00E52E6B">
        <w:rPr>
          <w:rFonts w:cs="Arial"/>
          <w:bCs/>
          <w:sz w:val="24"/>
          <w:szCs w:val="24"/>
        </w:rPr>
        <w:t>,</w:t>
      </w:r>
      <w:r w:rsidR="006F1646">
        <w:rPr>
          <w:rFonts w:cs="Arial"/>
          <w:bCs/>
          <w:sz w:val="24"/>
          <w:szCs w:val="24"/>
        </w:rPr>
        <w:t xml:space="preserve"> and</w:t>
      </w:r>
      <w:r w:rsidR="00071C9F">
        <w:rPr>
          <w:rFonts w:cs="Arial"/>
          <w:bCs/>
          <w:sz w:val="24"/>
          <w:szCs w:val="24"/>
        </w:rPr>
        <w:t xml:space="preserve"> conduct inquiries</w:t>
      </w:r>
      <w:r w:rsidR="00CF7EB3">
        <w:rPr>
          <w:rFonts w:cs="Arial"/>
          <w:bCs/>
          <w:sz w:val="24"/>
          <w:szCs w:val="24"/>
        </w:rPr>
        <w:t>.</w:t>
      </w:r>
    </w:p>
    <w:p w:rsidR="00071C9F" w:rsidRDefault="00071C9F" w:rsidP="003E6C01">
      <w:pPr>
        <w:pStyle w:val="ListParagraph"/>
        <w:numPr>
          <w:ilvl w:val="1"/>
          <w:numId w:val="9"/>
        </w:numPr>
        <w:spacing w:after="0"/>
        <w:jc w:val="both"/>
        <w:rPr>
          <w:rFonts w:cs="Arial"/>
          <w:bCs/>
          <w:sz w:val="24"/>
          <w:szCs w:val="24"/>
        </w:rPr>
      </w:pPr>
      <w:r>
        <w:rPr>
          <w:rFonts w:cs="Arial"/>
          <w:bCs/>
          <w:sz w:val="24"/>
          <w:szCs w:val="24"/>
        </w:rPr>
        <w:t>Investigations into the conduct of a charity trustee can continue even if the charity has ceased to exist.</w:t>
      </w:r>
    </w:p>
    <w:p w:rsidR="002462FD" w:rsidRPr="00CF7EB3" w:rsidRDefault="00FA3113" w:rsidP="002462FD">
      <w:pPr>
        <w:pStyle w:val="ListParagraph"/>
        <w:numPr>
          <w:ilvl w:val="0"/>
          <w:numId w:val="9"/>
        </w:numPr>
        <w:spacing w:after="0"/>
        <w:jc w:val="both"/>
        <w:rPr>
          <w:rFonts w:cs="Arial"/>
          <w:b/>
          <w:bCs/>
          <w:sz w:val="24"/>
          <w:szCs w:val="24"/>
        </w:rPr>
      </w:pPr>
      <w:r w:rsidRPr="00CF7EB3">
        <w:rPr>
          <w:rFonts w:cs="Arial"/>
          <w:b/>
          <w:bCs/>
          <w:sz w:val="24"/>
          <w:szCs w:val="24"/>
        </w:rPr>
        <w:t>Beneficial New Provisions</w:t>
      </w:r>
    </w:p>
    <w:p w:rsidR="00FA3113" w:rsidRDefault="00D71240" w:rsidP="00CF7EB3">
      <w:pPr>
        <w:pStyle w:val="ListParagraph"/>
        <w:numPr>
          <w:ilvl w:val="1"/>
          <w:numId w:val="9"/>
        </w:numPr>
        <w:spacing w:after="0"/>
        <w:jc w:val="both"/>
        <w:rPr>
          <w:rFonts w:cs="Arial"/>
          <w:bCs/>
          <w:sz w:val="24"/>
          <w:szCs w:val="24"/>
        </w:rPr>
      </w:pPr>
      <w:r>
        <w:rPr>
          <w:rFonts w:cs="Arial"/>
          <w:bCs/>
          <w:sz w:val="24"/>
          <w:szCs w:val="24"/>
        </w:rPr>
        <w:t>OSCR will maintain a r</w:t>
      </w:r>
      <w:r w:rsidR="00CF7EB3">
        <w:rPr>
          <w:rFonts w:cs="Arial"/>
          <w:bCs/>
          <w:sz w:val="24"/>
          <w:szCs w:val="24"/>
        </w:rPr>
        <w:t>egister of charity mergers</w:t>
      </w:r>
      <w:r>
        <w:rPr>
          <w:rFonts w:cs="Arial"/>
          <w:bCs/>
          <w:sz w:val="24"/>
          <w:szCs w:val="24"/>
        </w:rPr>
        <w:t xml:space="preserve"> notified to it:</w:t>
      </w:r>
    </w:p>
    <w:p w:rsidR="00CF7EB3" w:rsidRDefault="00CF7EB3" w:rsidP="00CF7EB3">
      <w:pPr>
        <w:pStyle w:val="ListParagraph"/>
        <w:numPr>
          <w:ilvl w:val="2"/>
          <w:numId w:val="9"/>
        </w:numPr>
        <w:spacing w:after="0"/>
        <w:jc w:val="both"/>
        <w:rPr>
          <w:rFonts w:cs="Arial"/>
          <w:bCs/>
          <w:sz w:val="24"/>
          <w:szCs w:val="24"/>
        </w:rPr>
      </w:pPr>
      <w:r>
        <w:rPr>
          <w:rFonts w:cs="Arial"/>
          <w:bCs/>
          <w:sz w:val="24"/>
          <w:szCs w:val="24"/>
        </w:rPr>
        <w:t>Ensures that successor charity receives benefit under legacy to its now defunct predecessor even if no specific provision in the Will.</w:t>
      </w:r>
    </w:p>
    <w:p w:rsidR="00CF7EB3" w:rsidRDefault="00CF7EB3" w:rsidP="00CF7EB3">
      <w:pPr>
        <w:pStyle w:val="ListParagraph"/>
        <w:numPr>
          <w:ilvl w:val="2"/>
          <w:numId w:val="9"/>
        </w:numPr>
        <w:spacing w:after="0"/>
        <w:jc w:val="both"/>
        <w:rPr>
          <w:rFonts w:cs="Arial"/>
          <w:bCs/>
          <w:sz w:val="24"/>
          <w:szCs w:val="24"/>
        </w:rPr>
      </w:pPr>
      <w:r>
        <w:rPr>
          <w:rFonts w:cs="Arial"/>
          <w:bCs/>
          <w:sz w:val="24"/>
          <w:szCs w:val="24"/>
        </w:rPr>
        <w:t>Extends to include</w:t>
      </w:r>
      <w:r w:rsidR="00071C9F">
        <w:rPr>
          <w:rFonts w:cs="Arial"/>
          <w:bCs/>
          <w:sz w:val="24"/>
          <w:szCs w:val="24"/>
        </w:rPr>
        <w:t xml:space="preserve"> not only amalgamations and takeovers, but also</w:t>
      </w:r>
      <w:r>
        <w:rPr>
          <w:rFonts w:cs="Arial"/>
          <w:bCs/>
          <w:sz w:val="24"/>
          <w:szCs w:val="24"/>
        </w:rPr>
        <w:t xml:space="preserve"> changes in form, for example where an unincorporated voluntary association (“UVA”) restructures as a Scottish Charitable Incorporated Organisation (“SCIO”)</w:t>
      </w:r>
      <w:r w:rsidR="00A926A3">
        <w:rPr>
          <w:rFonts w:cs="Arial"/>
          <w:bCs/>
          <w:sz w:val="24"/>
          <w:szCs w:val="24"/>
        </w:rPr>
        <w:t xml:space="preserve"> or charitable company limited by guarantee</w:t>
      </w:r>
      <w:r>
        <w:rPr>
          <w:rFonts w:cs="Arial"/>
          <w:bCs/>
          <w:sz w:val="24"/>
          <w:szCs w:val="24"/>
        </w:rPr>
        <w:t>.</w:t>
      </w:r>
    </w:p>
    <w:p w:rsidR="00CF7EB3" w:rsidRPr="002462FD" w:rsidRDefault="00CF7EB3" w:rsidP="00CF7EB3">
      <w:pPr>
        <w:pStyle w:val="ListParagraph"/>
        <w:numPr>
          <w:ilvl w:val="1"/>
          <w:numId w:val="9"/>
        </w:numPr>
        <w:spacing w:after="0"/>
        <w:jc w:val="both"/>
        <w:rPr>
          <w:rFonts w:cs="Arial"/>
          <w:bCs/>
          <w:sz w:val="24"/>
          <w:szCs w:val="24"/>
        </w:rPr>
      </w:pPr>
      <w:r>
        <w:rPr>
          <w:rFonts w:cs="Arial"/>
          <w:bCs/>
          <w:sz w:val="24"/>
          <w:szCs w:val="24"/>
        </w:rPr>
        <w:lastRenderedPageBreak/>
        <w:t>Relaxation of prohibition on certain unacceptable names. For example this may allow a SCIO to retain the same name as the UVA it has been set up to replace, rather than have to find a different name (and then perhaps change again after the UVA has been removed from the Register).</w:t>
      </w:r>
    </w:p>
    <w:p w:rsidR="00750242" w:rsidRDefault="00750242" w:rsidP="00214A1A">
      <w:pPr>
        <w:spacing w:after="0"/>
        <w:jc w:val="both"/>
        <w:rPr>
          <w:rFonts w:cs="Arial"/>
          <w:bCs/>
          <w:sz w:val="24"/>
          <w:szCs w:val="24"/>
        </w:rPr>
      </w:pPr>
    </w:p>
    <w:p w:rsidR="006F1646" w:rsidRPr="006F1646" w:rsidRDefault="006F1646" w:rsidP="006F1646">
      <w:pPr>
        <w:spacing w:after="0"/>
        <w:rPr>
          <w:rFonts w:cs="Arial"/>
          <w:b/>
          <w:bCs/>
          <w:sz w:val="24"/>
          <w:szCs w:val="24"/>
          <w:u w:val="single"/>
        </w:rPr>
      </w:pPr>
      <w:r w:rsidRPr="006F1646">
        <w:rPr>
          <w:rFonts w:cs="Arial"/>
          <w:b/>
          <w:bCs/>
          <w:sz w:val="24"/>
          <w:szCs w:val="24"/>
          <w:u w:val="single"/>
        </w:rPr>
        <w:t>Principal takeaways:</w:t>
      </w:r>
    </w:p>
    <w:p w:rsidR="006F1646" w:rsidRDefault="006F1646" w:rsidP="006F1646">
      <w:pPr>
        <w:pStyle w:val="ListParagraph"/>
        <w:numPr>
          <w:ilvl w:val="0"/>
          <w:numId w:val="10"/>
        </w:numPr>
        <w:spacing w:after="0"/>
        <w:jc w:val="both"/>
        <w:rPr>
          <w:rFonts w:cs="Arial"/>
          <w:bCs/>
          <w:sz w:val="24"/>
          <w:szCs w:val="24"/>
        </w:rPr>
      </w:pPr>
      <w:r>
        <w:rPr>
          <w:rFonts w:cs="Arial"/>
          <w:bCs/>
          <w:sz w:val="24"/>
          <w:szCs w:val="24"/>
        </w:rPr>
        <w:t>The main increased administrative burden wou</w:t>
      </w:r>
      <w:r w:rsidR="00E52E6B">
        <w:rPr>
          <w:rFonts w:cs="Arial"/>
          <w:bCs/>
          <w:sz w:val="24"/>
          <w:szCs w:val="24"/>
        </w:rPr>
        <w:t>ld appear be the need to supply</w:t>
      </w:r>
      <w:r>
        <w:rPr>
          <w:rFonts w:cs="Arial"/>
          <w:bCs/>
          <w:sz w:val="24"/>
          <w:szCs w:val="24"/>
        </w:rPr>
        <w:t xml:space="preserve"> information on charity trustees and to notify changes in trustees. It is to be hoped that OSCR will provide a straightforward online mechanism for doing this, and that it will soon become second nature for church secretaries or administrators.</w:t>
      </w:r>
    </w:p>
    <w:p w:rsidR="006F1646" w:rsidRDefault="006F1646" w:rsidP="006F1646">
      <w:pPr>
        <w:pStyle w:val="ListParagraph"/>
        <w:numPr>
          <w:ilvl w:val="0"/>
          <w:numId w:val="10"/>
        </w:numPr>
        <w:spacing w:after="0"/>
        <w:jc w:val="both"/>
        <w:rPr>
          <w:rFonts w:cs="Arial"/>
          <w:bCs/>
          <w:sz w:val="24"/>
          <w:szCs w:val="24"/>
        </w:rPr>
      </w:pPr>
      <w:r>
        <w:rPr>
          <w:rFonts w:cs="Arial"/>
          <w:bCs/>
          <w:sz w:val="24"/>
          <w:szCs w:val="24"/>
        </w:rPr>
        <w:t>It would be helpful now for church treasurers or finance leads to maintain</w:t>
      </w:r>
      <w:r w:rsidR="00E52E6B">
        <w:rPr>
          <w:rFonts w:cs="Arial"/>
          <w:bCs/>
          <w:sz w:val="24"/>
          <w:szCs w:val="24"/>
        </w:rPr>
        <w:t>,</w:t>
      </w:r>
      <w:r>
        <w:rPr>
          <w:rFonts w:cs="Arial"/>
          <w:bCs/>
          <w:sz w:val="24"/>
          <w:szCs w:val="24"/>
        </w:rPr>
        <w:t xml:space="preserve"> or if need be get into</w:t>
      </w:r>
      <w:r w:rsidR="00E52E6B">
        <w:rPr>
          <w:rFonts w:cs="Arial"/>
          <w:bCs/>
          <w:sz w:val="24"/>
          <w:szCs w:val="24"/>
        </w:rPr>
        <w:t>,</w:t>
      </w:r>
      <w:r>
        <w:rPr>
          <w:rFonts w:cs="Arial"/>
          <w:bCs/>
          <w:sz w:val="24"/>
          <w:szCs w:val="24"/>
        </w:rPr>
        <w:t xml:space="preserve"> the habit of ensuring that accounts are prepared and lodged timeously. A random look at Baptist church charities on the OSCR website would indicate that this is not always the case!</w:t>
      </w:r>
    </w:p>
    <w:p w:rsidR="006F1646" w:rsidRDefault="006F1646" w:rsidP="006F1646">
      <w:pPr>
        <w:pStyle w:val="ListParagraph"/>
        <w:numPr>
          <w:ilvl w:val="0"/>
          <w:numId w:val="10"/>
        </w:numPr>
        <w:spacing w:after="0"/>
        <w:jc w:val="both"/>
        <w:rPr>
          <w:rFonts w:cs="Arial"/>
          <w:bCs/>
          <w:sz w:val="24"/>
          <w:szCs w:val="24"/>
        </w:rPr>
      </w:pPr>
      <w:r>
        <w:rPr>
          <w:rFonts w:cs="Arial"/>
          <w:bCs/>
          <w:sz w:val="24"/>
          <w:szCs w:val="24"/>
        </w:rPr>
        <w:t>If OSCR is endeavouring to communicate with your church charity, resist the temptation to go into your shell or crawl under a rock. Engage with OSCR! I do not think that the increased powers and tightened regulatory supervision will change the general character of OSCR as a benevolent regulator, more keen to support charities and encourage trustees (especially those who are genuinely struggling for whatever reason) in the public interest, rather than to exercise discipline.</w:t>
      </w:r>
    </w:p>
    <w:p w:rsidR="00CF7EB3" w:rsidRDefault="006F1646" w:rsidP="006F1646">
      <w:pPr>
        <w:pStyle w:val="ListParagraph"/>
        <w:spacing w:after="0"/>
        <w:ind w:left="0"/>
        <w:rPr>
          <w:rFonts w:cs="Arial"/>
          <w:bCs/>
          <w:sz w:val="24"/>
          <w:szCs w:val="24"/>
        </w:rPr>
      </w:pPr>
      <w:r w:rsidRPr="006F1646">
        <w:rPr>
          <w:rFonts w:cs="Arial"/>
          <w:bCs/>
          <w:sz w:val="24"/>
          <w:szCs w:val="24"/>
        </w:rPr>
        <w:br/>
      </w:r>
      <w:r w:rsidR="00CF7EB3">
        <w:rPr>
          <w:rFonts w:cs="Arial"/>
          <w:bCs/>
          <w:sz w:val="24"/>
          <w:szCs w:val="24"/>
        </w:rPr>
        <w:t xml:space="preserve">In conclusion, a well-run church charity which complies timeously with its obligations should have </w:t>
      </w:r>
      <w:r w:rsidR="005A24F0">
        <w:rPr>
          <w:rFonts w:cs="Arial"/>
          <w:bCs/>
          <w:sz w:val="24"/>
          <w:szCs w:val="24"/>
        </w:rPr>
        <w:t>nothing to fear from CRAAS</w:t>
      </w:r>
      <w:r w:rsidR="00CF7EB3">
        <w:rPr>
          <w:rFonts w:cs="Arial"/>
          <w:bCs/>
          <w:sz w:val="24"/>
          <w:szCs w:val="24"/>
        </w:rPr>
        <w:t>, but the inefficient and the uncommunicative may fall foul of the long arm of the claw.</w:t>
      </w:r>
    </w:p>
    <w:p w:rsidR="00214A1A" w:rsidRDefault="00214A1A" w:rsidP="00214A1A">
      <w:pPr>
        <w:spacing w:after="0"/>
        <w:jc w:val="both"/>
        <w:rPr>
          <w:rFonts w:cs="Arial"/>
          <w:bCs/>
          <w:sz w:val="24"/>
          <w:szCs w:val="24"/>
        </w:rPr>
      </w:pPr>
    </w:p>
    <w:p w:rsidR="00214A1A" w:rsidRPr="00CF7EB3" w:rsidRDefault="002462FD" w:rsidP="00214A1A">
      <w:pPr>
        <w:spacing w:after="0"/>
        <w:jc w:val="both"/>
        <w:rPr>
          <w:rFonts w:cs="Arial"/>
          <w:b/>
          <w:bCs/>
          <w:sz w:val="24"/>
          <w:szCs w:val="24"/>
        </w:rPr>
      </w:pPr>
      <w:r w:rsidRPr="00CF7EB3">
        <w:rPr>
          <w:rFonts w:cs="Arial"/>
          <w:b/>
          <w:bCs/>
          <w:sz w:val="24"/>
          <w:szCs w:val="24"/>
        </w:rPr>
        <w:t>Alan Holloway</w:t>
      </w:r>
    </w:p>
    <w:p w:rsidR="002462FD" w:rsidRPr="00CF7EB3" w:rsidRDefault="00E52E6B" w:rsidP="00214A1A">
      <w:pPr>
        <w:spacing w:after="0"/>
        <w:jc w:val="both"/>
        <w:rPr>
          <w:rFonts w:cs="Arial"/>
          <w:b/>
          <w:bCs/>
          <w:sz w:val="24"/>
          <w:szCs w:val="24"/>
        </w:rPr>
      </w:pPr>
      <w:r>
        <w:rPr>
          <w:rFonts w:cs="Arial"/>
          <w:b/>
          <w:bCs/>
          <w:sz w:val="24"/>
          <w:szCs w:val="24"/>
        </w:rPr>
        <w:t>Solicitor to T</w:t>
      </w:r>
      <w:r w:rsidR="002462FD" w:rsidRPr="00CF7EB3">
        <w:rPr>
          <w:rFonts w:cs="Arial"/>
          <w:b/>
          <w:bCs/>
          <w:sz w:val="24"/>
          <w:szCs w:val="24"/>
        </w:rPr>
        <w:t>he Baptist Union of Scotland</w:t>
      </w:r>
    </w:p>
    <w:p w:rsidR="002462FD" w:rsidRDefault="00A926A3" w:rsidP="00214A1A">
      <w:pPr>
        <w:spacing w:after="0"/>
        <w:jc w:val="both"/>
        <w:rPr>
          <w:rStyle w:val="Hyperlink"/>
          <w:rFonts w:cs="Arial"/>
          <w:b/>
          <w:bCs/>
          <w:sz w:val="24"/>
          <w:szCs w:val="24"/>
        </w:rPr>
      </w:pPr>
      <w:hyperlink r:id="rId8" w:history="1">
        <w:r w:rsidR="002462FD" w:rsidRPr="00CF7EB3">
          <w:rPr>
            <w:rStyle w:val="Hyperlink"/>
            <w:rFonts w:cs="Arial"/>
            <w:b/>
            <w:bCs/>
            <w:sz w:val="24"/>
            <w:szCs w:val="24"/>
          </w:rPr>
          <w:t>alan@diakoneolegal.co.uk</w:t>
        </w:r>
      </w:hyperlink>
    </w:p>
    <w:p w:rsidR="006F1646" w:rsidRPr="00BA5A13" w:rsidRDefault="005A24F0" w:rsidP="00214A1A">
      <w:pPr>
        <w:spacing w:after="0"/>
        <w:jc w:val="both"/>
        <w:rPr>
          <w:rFonts w:cs="Arial"/>
          <w:bCs/>
          <w:sz w:val="24"/>
          <w:szCs w:val="24"/>
        </w:rPr>
      </w:pPr>
      <w:r>
        <w:rPr>
          <w:rFonts w:cs="Arial"/>
          <w:bCs/>
          <w:sz w:val="24"/>
          <w:szCs w:val="24"/>
        </w:rPr>
        <w:t>January</w:t>
      </w:r>
      <w:r w:rsidR="00BA5A13" w:rsidRPr="00BA5A13">
        <w:rPr>
          <w:rFonts w:cs="Arial"/>
          <w:bCs/>
          <w:sz w:val="24"/>
          <w:szCs w:val="24"/>
        </w:rPr>
        <w:t xml:space="preserve"> </w:t>
      </w:r>
      <w:r>
        <w:rPr>
          <w:rFonts w:cs="Arial"/>
          <w:bCs/>
          <w:sz w:val="24"/>
          <w:szCs w:val="24"/>
        </w:rPr>
        <w:t>2024</w:t>
      </w:r>
    </w:p>
    <w:p w:rsidR="00E52E6B" w:rsidRPr="00CF7EB3" w:rsidRDefault="00E52E6B" w:rsidP="00214A1A">
      <w:pPr>
        <w:spacing w:after="0"/>
        <w:jc w:val="both"/>
        <w:rPr>
          <w:rFonts w:cs="Arial"/>
          <w:b/>
          <w:bCs/>
          <w:sz w:val="24"/>
          <w:szCs w:val="24"/>
        </w:rPr>
      </w:pPr>
    </w:p>
    <w:p w:rsidR="004A2F62" w:rsidRPr="002462FD" w:rsidRDefault="002462FD">
      <w:pPr>
        <w:rPr>
          <w:i/>
          <w:sz w:val="24"/>
          <w:szCs w:val="24"/>
        </w:rPr>
      </w:pPr>
      <w:r w:rsidRPr="002462FD">
        <w:rPr>
          <w:i/>
          <w:sz w:val="24"/>
          <w:szCs w:val="24"/>
        </w:rPr>
        <w:t xml:space="preserve">PS. </w:t>
      </w:r>
      <w:r w:rsidR="00A13519" w:rsidRPr="002462FD">
        <w:rPr>
          <w:i/>
          <w:sz w:val="24"/>
          <w:szCs w:val="24"/>
        </w:rPr>
        <w:t xml:space="preserve">If you want to read about this in much more detail, here are some </w:t>
      </w:r>
      <w:r w:rsidRPr="002462FD">
        <w:rPr>
          <w:i/>
          <w:sz w:val="24"/>
          <w:szCs w:val="24"/>
        </w:rPr>
        <w:t xml:space="preserve">useful </w:t>
      </w:r>
      <w:r w:rsidR="00A13519" w:rsidRPr="002462FD">
        <w:rPr>
          <w:i/>
          <w:sz w:val="24"/>
          <w:szCs w:val="24"/>
        </w:rPr>
        <w:t>links:</w:t>
      </w:r>
    </w:p>
    <w:p w:rsidR="002462FD" w:rsidRDefault="00C72A14">
      <w:pPr>
        <w:rPr>
          <w:sz w:val="24"/>
          <w:szCs w:val="24"/>
        </w:rPr>
      </w:pPr>
      <w:r>
        <w:rPr>
          <w:sz w:val="24"/>
          <w:szCs w:val="24"/>
        </w:rPr>
        <w:t>The text of the Act</w:t>
      </w:r>
    </w:p>
    <w:p w:rsidR="00C72A14" w:rsidRDefault="00C72A14">
      <w:pPr>
        <w:rPr>
          <w:sz w:val="24"/>
          <w:szCs w:val="24"/>
        </w:rPr>
      </w:pPr>
      <w:hyperlink r:id="rId9" w:history="1">
        <w:r w:rsidRPr="00AF63B2">
          <w:rPr>
            <w:rStyle w:val="Hyperlink"/>
            <w:sz w:val="24"/>
            <w:szCs w:val="24"/>
          </w:rPr>
          <w:t>https://www.legislation.gov.uk/asp/2023/5/contents/enacted</w:t>
        </w:r>
      </w:hyperlink>
    </w:p>
    <w:p w:rsidR="00A13519" w:rsidRDefault="00A13519">
      <w:pPr>
        <w:rPr>
          <w:sz w:val="24"/>
          <w:szCs w:val="24"/>
        </w:rPr>
      </w:pPr>
      <w:r>
        <w:rPr>
          <w:sz w:val="24"/>
          <w:szCs w:val="24"/>
        </w:rPr>
        <w:t>Explanatory Notes</w:t>
      </w:r>
      <w:r w:rsidR="005A24F0">
        <w:rPr>
          <w:sz w:val="24"/>
          <w:szCs w:val="24"/>
        </w:rPr>
        <w:t xml:space="preserve"> on the Bill which became the Act</w:t>
      </w:r>
    </w:p>
    <w:p w:rsidR="00A13519" w:rsidRDefault="00A926A3">
      <w:pPr>
        <w:rPr>
          <w:sz w:val="24"/>
          <w:szCs w:val="24"/>
        </w:rPr>
      </w:pPr>
      <w:hyperlink r:id="rId10" w:history="1">
        <w:r w:rsidR="00A13519" w:rsidRPr="0072087C">
          <w:rPr>
            <w:rStyle w:val="Hyperlink"/>
            <w:sz w:val="24"/>
            <w:szCs w:val="24"/>
          </w:rPr>
          <w:t>https://www.parliament.scot/-/media/files/legislation/bills/s6-bills/charities-regulation-and-administration-scotland-bill/introduced/enaccessible.pdf</w:t>
        </w:r>
      </w:hyperlink>
    </w:p>
    <w:p w:rsidR="00A13519" w:rsidRDefault="00A13519">
      <w:pPr>
        <w:rPr>
          <w:sz w:val="24"/>
          <w:szCs w:val="24"/>
        </w:rPr>
      </w:pPr>
      <w:r>
        <w:rPr>
          <w:sz w:val="24"/>
          <w:szCs w:val="24"/>
        </w:rPr>
        <w:t>Policy Memorandum</w:t>
      </w:r>
    </w:p>
    <w:p w:rsidR="00A13519" w:rsidRPr="004A2F62" w:rsidRDefault="00A926A3">
      <w:pPr>
        <w:rPr>
          <w:sz w:val="24"/>
          <w:szCs w:val="24"/>
        </w:rPr>
      </w:pPr>
      <w:hyperlink r:id="rId11" w:history="1">
        <w:r w:rsidR="00A13519" w:rsidRPr="0072087C">
          <w:rPr>
            <w:rStyle w:val="Hyperlink"/>
            <w:sz w:val="24"/>
            <w:szCs w:val="24"/>
          </w:rPr>
          <w:t>https://www.parliament.scot/-/media/files/legislation/bills/s6-bills/charities-regulation-and-administration-scotland-bill/introduced/pmaccessible.pdf</w:t>
        </w:r>
      </w:hyperlink>
      <w:bookmarkStart w:id="0" w:name="_GoBack"/>
      <w:bookmarkEnd w:id="0"/>
    </w:p>
    <w:sectPr w:rsidR="00A13519" w:rsidRPr="004A2F62" w:rsidSect="00F910FC">
      <w:headerReference w:type="default" r:id="rId12"/>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D4" w:rsidRDefault="00897766">
      <w:pPr>
        <w:spacing w:after="0" w:line="240" w:lineRule="auto"/>
      </w:pPr>
      <w:r>
        <w:separator/>
      </w:r>
    </w:p>
  </w:endnote>
  <w:endnote w:type="continuationSeparator" w:id="0">
    <w:p w:rsidR="008608D4" w:rsidRDefault="0089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D4" w:rsidRDefault="00897766">
      <w:pPr>
        <w:spacing w:after="0" w:line="240" w:lineRule="auto"/>
      </w:pPr>
      <w:r>
        <w:separator/>
      </w:r>
    </w:p>
  </w:footnote>
  <w:footnote w:type="continuationSeparator" w:id="0">
    <w:p w:rsidR="008608D4" w:rsidRDefault="0089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8F9" w:rsidRDefault="001B0422" w:rsidP="006E1D8B">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926A3">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5122"/>
    <w:multiLevelType w:val="hybridMultilevel"/>
    <w:tmpl w:val="7500E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B1E22"/>
    <w:multiLevelType w:val="hybridMultilevel"/>
    <w:tmpl w:val="02F83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A7BF3"/>
    <w:multiLevelType w:val="hybridMultilevel"/>
    <w:tmpl w:val="89EA4D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4308C"/>
    <w:multiLevelType w:val="hybridMultilevel"/>
    <w:tmpl w:val="5D3A13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6"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6"/>
  </w:num>
  <w:num w:numId="6">
    <w:abstractNumId w:val="9"/>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57045"/>
    <w:rsid w:val="00071C9F"/>
    <w:rsid w:val="00075081"/>
    <w:rsid w:val="00085C91"/>
    <w:rsid w:val="00086DA4"/>
    <w:rsid w:val="00094EF7"/>
    <w:rsid w:val="000E56E9"/>
    <w:rsid w:val="000E7E1A"/>
    <w:rsid w:val="00102D10"/>
    <w:rsid w:val="00111683"/>
    <w:rsid w:val="001B0422"/>
    <w:rsid w:val="001C1A6F"/>
    <w:rsid w:val="001F5C85"/>
    <w:rsid w:val="001F6A4C"/>
    <w:rsid w:val="00210E60"/>
    <w:rsid w:val="00214A1A"/>
    <w:rsid w:val="00214DDC"/>
    <w:rsid w:val="002462FD"/>
    <w:rsid w:val="00280B45"/>
    <w:rsid w:val="0029184B"/>
    <w:rsid w:val="002921CE"/>
    <w:rsid w:val="002A620C"/>
    <w:rsid w:val="002B0A7E"/>
    <w:rsid w:val="002C6D19"/>
    <w:rsid w:val="003422DC"/>
    <w:rsid w:val="00355EC6"/>
    <w:rsid w:val="00380843"/>
    <w:rsid w:val="00381608"/>
    <w:rsid w:val="003A4FF3"/>
    <w:rsid w:val="003B42AB"/>
    <w:rsid w:val="003D0A81"/>
    <w:rsid w:val="003E6C01"/>
    <w:rsid w:val="004231BC"/>
    <w:rsid w:val="00430602"/>
    <w:rsid w:val="00474D86"/>
    <w:rsid w:val="00476684"/>
    <w:rsid w:val="00480F1B"/>
    <w:rsid w:val="00495D59"/>
    <w:rsid w:val="004A0CAD"/>
    <w:rsid w:val="004A2F62"/>
    <w:rsid w:val="004C72A0"/>
    <w:rsid w:val="004E3602"/>
    <w:rsid w:val="004F3A7D"/>
    <w:rsid w:val="004F56A1"/>
    <w:rsid w:val="005062E8"/>
    <w:rsid w:val="00512B84"/>
    <w:rsid w:val="00541A60"/>
    <w:rsid w:val="005A24F0"/>
    <w:rsid w:val="005B0AA5"/>
    <w:rsid w:val="005C5DE5"/>
    <w:rsid w:val="005E7B27"/>
    <w:rsid w:val="006205BF"/>
    <w:rsid w:val="006250D2"/>
    <w:rsid w:val="006271A9"/>
    <w:rsid w:val="00637B76"/>
    <w:rsid w:val="0068709D"/>
    <w:rsid w:val="00693A4A"/>
    <w:rsid w:val="006C526D"/>
    <w:rsid w:val="006F1646"/>
    <w:rsid w:val="007112B6"/>
    <w:rsid w:val="00750242"/>
    <w:rsid w:val="00787263"/>
    <w:rsid w:val="007E1114"/>
    <w:rsid w:val="00851F4E"/>
    <w:rsid w:val="008563E6"/>
    <w:rsid w:val="0086043B"/>
    <w:rsid w:val="008608D4"/>
    <w:rsid w:val="00875D6E"/>
    <w:rsid w:val="00882834"/>
    <w:rsid w:val="00883EDD"/>
    <w:rsid w:val="00897766"/>
    <w:rsid w:val="009178BF"/>
    <w:rsid w:val="00924530"/>
    <w:rsid w:val="009353B2"/>
    <w:rsid w:val="009A35DD"/>
    <w:rsid w:val="009D558A"/>
    <w:rsid w:val="00A13519"/>
    <w:rsid w:val="00A37D1B"/>
    <w:rsid w:val="00A37DE5"/>
    <w:rsid w:val="00A767B9"/>
    <w:rsid w:val="00A926A3"/>
    <w:rsid w:val="00AA37FA"/>
    <w:rsid w:val="00AE535B"/>
    <w:rsid w:val="00B03EB2"/>
    <w:rsid w:val="00BA063D"/>
    <w:rsid w:val="00BA5A13"/>
    <w:rsid w:val="00BA6C67"/>
    <w:rsid w:val="00BB121C"/>
    <w:rsid w:val="00BE2087"/>
    <w:rsid w:val="00BF2E91"/>
    <w:rsid w:val="00C17308"/>
    <w:rsid w:val="00C2331A"/>
    <w:rsid w:val="00C45E89"/>
    <w:rsid w:val="00C55083"/>
    <w:rsid w:val="00C72A14"/>
    <w:rsid w:val="00CB348F"/>
    <w:rsid w:val="00CD3257"/>
    <w:rsid w:val="00CF09CB"/>
    <w:rsid w:val="00CF7EB3"/>
    <w:rsid w:val="00D05764"/>
    <w:rsid w:val="00D15E34"/>
    <w:rsid w:val="00D21771"/>
    <w:rsid w:val="00D37C73"/>
    <w:rsid w:val="00D71240"/>
    <w:rsid w:val="00DA5503"/>
    <w:rsid w:val="00DC4FDA"/>
    <w:rsid w:val="00DF4A8A"/>
    <w:rsid w:val="00E03E94"/>
    <w:rsid w:val="00E46A42"/>
    <w:rsid w:val="00E51B92"/>
    <w:rsid w:val="00E52E6B"/>
    <w:rsid w:val="00E6046C"/>
    <w:rsid w:val="00E82C5D"/>
    <w:rsid w:val="00EB26EB"/>
    <w:rsid w:val="00EB4A3D"/>
    <w:rsid w:val="00EC3933"/>
    <w:rsid w:val="00F5254E"/>
    <w:rsid w:val="00F752B4"/>
    <w:rsid w:val="00F87627"/>
    <w:rsid w:val="00FA3113"/>
    <w:rsid w:val="00FC2661"/>
    <w:rsid w:val="00FC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F9D0"/>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an@diakoneolega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liament.scot/-/media/files/legislation/bills/s6-bills/charities-regulation-and-administration-scotland-bill/introduced/pmaccessible.pdf" TargetMode="External"/><Relationship Id="rId5" Type="http://schemas.openxmlformats.org/officeDocument/2006/relationships/webSettings" Target="webSettings.xml"/><Relationship Id="rId10" Type="http://schemas.openxmlformats.org/officeDocument/2006/relationships/hyperlink" Target="https://www.parliament.scot/-/media/files/legislation/bills/s6-bills/charities-regulation-and-administration-scotland-bill/introduced/enaccessible.pdf" TargetMode="External"/><Relationship Id="rId4" Type="http://schemas.openxmlformats.org/officeDocument/2006/relationships/settings" Target="settings.xml"/><Relationship Id="rId9" Type="http://schemas.openxmlformats.org/officeDocument/2006/relationships/hyperlink" Target="https://www.legislation.gov.uk/asp/2023/5/contents/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F814-A268-42D6-9527-B8EEF64A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4</cp:revision>
  <cp:lastPrinted>2024-01-03T23:28:00Z</cp:lastPrinted>
  <dcterms:created xsi:type="dcterms:W3CDTF">2024-01-03T23:00:00Z</dcterms:created>
  <dcterms:modified xsi:type="dcterms:W3CDTF">2024-01-03T23:32:00Z</dcterms:modified>
</cp:coreProperties>
</file>